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89" w:rsidRDefault="00D02089" w:rsidP="00CC0F3E">
      <w:pPr>
        <w:pStyle w:val="Heading1"/>
        <w:rPr>
          <w:sz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  <w:sz w:val="36"/>
          <w:lang w:eastAsia="en-CA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inline distT="0" distB="0" distL="0" distR="0" wp14:anchorId="6025630B">
            <wp:extent cx="1378585" cy="9393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03" cy="967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D4A" w:rsidRPr="00D02089" w:rsidRDefault="00DD5D4A" w:rsidP="00CC0F3E">
      <w:pPr>
        <w:pStyle w:val="Heading1"/>
        <w:rPr>
          <w:sz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02089">
        <w:rPr>
          <w:sz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Career Development 10 Course Outline</w:t>
      </w:r>
    </w:p>
    <w:p w:rsidR="00CC0F3E" w:rsidRPr="00CC0F3E" w:rsidRDefault="00CC0F3E" w:rsidP="00CC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Teacher: </w:t>
      </w:r>
      <w:r w:rsidRPr="00CC0F3E">
        <w:rPr>
          <w:b/>
          <w:sz w:val="24"/>
          <w:szCs w:val="24"/>
        </w:rPr>
        <w:t xml:space="preserve">Mr. Dave </w:t>
      </w:r>
      <w:proofErr w:type="spellStart"/>
      <w:r w:rsidRPr="00CC0F3E">
        <w:rPr>
          <w:b/>
          <w:sz w:val="24"/>
          <w:szCs w:val="24"/>
        </w:rPr>
        <w:t>Denike</w:t>
      </w:r>
      <w:proofErr w:type="spellEnd"/>
    </w:p>
    <w:p w:rsidR="00DD5D4A" w:rsidRDefault="00DD5D4A" w:rsidP="00CC0F3E">
      <w:pPr>
        <w:jc w:val="both"/>
      </w:pPr>
      <w:r>
        <w:t xml:space="preserve">Career Development 10 is a mandatory full credit course for first year students in the Options and Opportunities Program. It is designed to help students to develop their skills, explore a variety of career options, manage resources, and develop a career plan.   </w:t>
      </w:r>
    </w:p>
    <w:p w:rsidR="00B22E94" w:rsidRPr="00ED6598" w:rsidRDefault="00DD5D4A" w:rsidP="00CC0F3E">
      <w:pPr>
        <w:jc w:val="both"/>
        <w:rPr>
          <w:i/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D6598">
        <w:rPr>
          <w:i/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Units / Themes</w:t>
      </w:r>
    </w:p>
    <w:p w:rsidR="00DD5D4A" w:rsidRPr="00911CFA" w:rsidRDefault="00DD5D4A" w:rsidP="00CC0F3E">
      <w:pPr>
        <w:jc w:val="both"/>
        <w:rPr>
          <w:b/>
          <w:u w:val="single"/>
        </w:rPr>
      </w:pPr>
      <w:r w:rsidRPr="00B22E94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911CFA">
        <w:rPr>
          <w:b/>
          <w:u w:val="single"/>
        </w:rPr>
        <w:t>The course consists of the following five</w:t>
      </w:r>
      <w:r w:rsidR="00911CFA" w:rsidRPr="00911CFA">
        <w:rPr>
          <w:b/>
          <w:u w:val="single"/>
        </w:rPr>
        <w:t xml:space="preserve"> (5)</w:t>
      </w:r>
      <w:r w:rsidRPr="00911CFA">
        <w:rPr>
          <w:b/>
          <w:u w:val="single"/>
        </w:rPr>
        <w:t xml:space="preserve"> units</w:t>
      </w:r>
      <w:r w:rsidR="00911CFA" w:rsidRPr="00911CFA">
        <w:rPr>
          <w:b/>
          <w:u w:val="single"/>
        </w:rPr>
        <w:t xml:space="preserve"> and the following twenty (20) outcomes</w:t>
      </w:r>
      <w:r w:rsidRPr="00911CFA">
        <w:rPr>
          <w:b/>
          <w:u w:val="single"/>
        </w:rPr>
        <w:t xml:space="preserve">:  </w:t>
      </w:r>
    </w:p>
    <w:p w:rsidR="00B22E94" w:rsidRDefault="000E523F" w:rsidP="00B55B3D">
      <w:pPr>
        <w:spacing w:line="276" w:lineRule="auto"/>
        <w:jc w:val="both"/>
      </w:pPr>
      <w:r>
        <w:t>1. Personal Development      - 25%</w:t>
      </w:r>
    </w:p>
    <w:p w:rsidR="00B22E94" w:rsidRDefault="00DD5D4A" w:rsidP="00B55B3D">
      <w:pPr>
        <w:spacing w:line="276" w:lineRule="auto"/>
        <w:jc w:val="both"/>
      </w:pPr>
      <w:r>
        <w:t xml:space="preserve"> 2. Career Awareness</w:t>
      </w:r>
      <w:r w:rsidR="000E523F">
        <w:t xml:space="preserve">             - 25%</w:t>
      </w:r>
    </w:p>
    <w:p w:rsidR="00B22E94" w:rsidRDefault="00DD5D4A" w:rsidP="00B55B3D">
      <w:pPr>
        <w:spacing w:line="276" w:lineRule="auto"/>
        <w:jc w:val="both"/>
      </w:pPr>
      <w:r>
        <w:t xml:space="preserve"> 3. Workplace Readiness</w:t>
      </w:r>
      <w:r w:rsidR="000E523F">
        <w:t xml:space="preserve">       - 20%</w:t>
      </w:r>
    </w:p>
    <w:p w:rsidR="00B22E94" w:rsidRDefault="00DD5D4A" w:rsidP="00B55B3D">
      <w:pPr>
        <w:spacing w:line="276" w:lineRule="auto"/>
        <w:jc w:val="both"/>
      </w:pPr>
      <w:r>
        <w:t xml:space="preserve"> 4. Financial Management </w:t>
      </w:r>
      <w:r w:rsidR="000E523F">
        <w:t xml:space="preserve">  </w:t>
      </w:r>
      <w:r w:rsidR="00911CFA">
        <w:t xml:space="preserve"> </w:t>
      </w:r>
      <w:r w:rsidR="000E523F">
        <w:t xml:space="preserve"> -15%</w:t>
      </w:r>
    </w:p>
    <w:p w:rsidR="00DD5D4A" w:rsidRDefault="00911CFA" w:rsidP="00B55B3D">
      <w:pPr>
        <w:spacing w:line="276" w:lineRule="auto"/>
        <w:jc w:val="both"/>
      </w:pPr>
      <w:r>
        <w:t xml:space="preserve"> </w:t>
      </w:r>
      <w:r w:rsidR="00DD5D4A">
        <w:t xml:space="preserve">5. Life/ Work Portfolio   </w:t>
      </w:r>
      <w:r w:rsidR="000E523F">
        <w:t xml:space="preserve">          - 15%</w:t>
      </w:r>
    </w:p>
    <w:p w:rsidR="00B22E94" w:rsidRPr="00CC3BEB" w:rsidRDefault="00DD5D4A" w:rsidP="00CC0F3E">
      <w:pPr>
        <w:jc w:val="both"/>
        <w:rPr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CC3BEB">
        <w:rPr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1. Personal Development</w:t>
      </w:r>
    </w:p>
    <w:p w:rsidR="00CC3BEB" w:rsidRDefault="00B22E94" w:rsidP="00CC0F3E">
      <w:pPr>
        <w:jc w:val="both"/>
      </w:pPr>
      <w:r>
        <w:t>S</w:t>
      </w:r>
      <w:r w:rsidR="00DD5D4A">
        <w:t>tudents will be expected to</w:t>
      </w:r>
      <w:r w:rsidR="00CC3BEB">
        <w:t>:</w:t>
      </w:r>
    </w:p>
    <w:p w:rsidR="00C57DC8" w:rsidRDefault="00C57DC8" w:rsidP="00C57DC8">
      <w:pPr>
        <w:jc w:val="both"/>
      </w:pPr>
      <w:r>
        <w:t xml:space="preserve">      1.1 </w:t>
      </w:r>
      <w:r w:rsidR="00DD5D4A">
        <w:t>Continue to develop independent decision making skills</w:t>
      </w:r>
      <w:r w:rsidR="00D750AE">
        <w:t>.</w:t>
      </w:r>
    </w:p>
    <w:p w:rsidR="00CC3BEB" w:rsidRDefault="00C57DC8" w:rsidP="00C57DC8">
      <w:pPr>
        <w:jc w:val="both"/>
      </w:pPr>
      <w:r>
        <w:t xml:space="preserve">      1.2 </w:t>
      </w:r>
      <w:r w:rsidR="00DD5D4A">
        <w:t>Develop effective communication and teamwork skills</w:t>
      </w:r>
      <w:r w:rsidR="00D750AE">
        <w:t>.</w:t>
      </w:r>
    </w:p>
    <w:p w:rsidR="00CC3BEB" w:rsidRDefault="00C57DC8" w:rsidP="00C57DC8">
      <w:pPr>
        <w:ind w:left="360"/>
        <w:jc w:val="both"/>
      </w:pPr>
      <w:r>
        <w:t xml:space="preserve">1.3 </w:t>
      </w:r>
      <w:r w:rsidR="00DD5D4A">
        <w:t>Effectively manage personal relationships and conflicts</w:t>
      </w:r>
      <w:r w:rsidR="00D750AE">
        <w:t>.</w:t>
      </w:r>
    </w:p>
    <w:p w:rsidR="00CC3BEB" w:rsidRDefault="00C57DC8" w:rsidP="00C57DC8">
      <w:pPr>
        <w:ind w:left="360"/>
        <w:jc w:val="both"/>
      </w:pPr>
      <w:r>
        <w:t xml:space="preserve">1.4 </w:t>
      </w:r>
      <w:r w:rsidR="00DD5D4A">
        <w:t>Describe strategies to deal with personal and community health issues</w:t>
      </w:r>
      <w:r w:rsidR="00D750AE">
        <w:t>.</w:t>
      </w:r>
    </w:p>
    <w:p w:rsidR="00CC3BEB" w:rsidRDefault="00C57DC8" w:rsidP="00C57DC8">
      <w:pPr>
        <w:ind w:left="360"/>
        <w:jc w:val="both"/>
      </w:pPr>
      <w:r>
        <w:t xml:space="preserve">1.5 </w:t>
      </w:r>
      <w:r w:rsidR="00DD5D4A">
        <w:t>Demonstrate respect and appreciation for a diversity of cultural values</w:t>
      </w:r>
      <w:r w:rsidR="00D750AE">
        <w:t>.</w:t>
      </w:r>
    </w:p>
    <w:p w:rsidR="00DD5D4A" w:rsidRDefault="00C57DC8" w:rsidP="00C57DC8">
      <w:pPr>
        <w:ind w:left="360"/>
        <w:jc w:val="both"/>
      </w:pPr>
      <w:r>
        <w:t xml:space="preserve">1.6 </w:t>
      </w:r>
      <w:r w:rsidR="00DD5D4A">
        <w:t>Demonstrate an understanding of the impact of different attitudes and beliefs</w:t>
      </w:r>
      <w:r w:rsidR="00D750AE">
        <w:t>.</w:t>
      </w:r>
      <w:r w:rsidR="00DD5D4A">
        <w:t xml:space="preserve">  </w:t>
      </w:r>
    </w:p>
    <w:p w:rsidR="00CC3BEB" w:rsidRPr="00CC3BEB" w:rsidRDefault="00DD5D4A" w:rsidP="00CC0F3E">
      <w:pPr>
        <w:jc w:val="both"/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C3BEB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2. Career Awareness</w:t>
      </w:r>
    </w:p>
    <w:p w:rsidR="00CC3BEB" w:rsidRDefault="00CC3BEB" w:rsidP="00CC0F3E">
      <w:pPr>
        <w:jc w:val="both"/>
      </w:pPr>
      <w:r>
        <w:t>S</w:t>
      </w:r>
      <w:r w:rsidR="00DD5D4A">
        <w:t>tudents will be expected to</w:t>
      </w:r>
      <w:r>
        <w:t>:</w:t>
      </w:r>
    </w:p>
    <w:p w:rsidR="00CC3BEB" w:rsidRDefault="00DD5D4A" w:rsidP="00CC0F3E">
      <w:pPr>
        <w:jc w:val="both"/>
      </w:pPr>
      <w:r>
        <w:t xml:space="preserve"> </w:t>
      </w:r>
      <w:r w:rsidR="00C57DC8">
        <w:t>2.1</w:t>
      </w:r>
      <w:r>
        <w:t xml:space="preserve"> Articulate personal interests, attributes, skills, learning styles and preferences</w:t>
      </w:r>
      <w:r w:rsidR="00D750AE">
        <w:t>.</w:t>
      </w:r>
    </w:p>
    <w:p w:rsidR="00CC3BEB" w:rsidRDefault="00C57DC8" w:rsidP="00CC0F3E">
      <w:pPr>
        <w:jc w:val="both"/>
      </w:pPr>
      <w:r>
        <w:t xml:space="preserve"> 2.2 </w:t>
      </w:r>
      <w:r w:rsidR="00DD5D4A">
        <w:t>Access, interpret and evaluate career information</w:t>
      </w:r>
      <w:r w:rsidR="00D750AE">
        <w:t>.</w:t>
      </w:r>
    </w:p>
    <w:p w:rsidR="00CC3BEB" w:rsidRDefault="00C57DC8" w:rsidP="00CC0F3E">
      <w:pPr>
        <w:jc w:val="both"/>
      </w:pPr>
      <w:r>
        <w:t xml:space="preserve"> 2.3 Engage</w:t>
      </w:r>
      <w:r w:rsidR="00DD5D4A">
        <w:t xml:space="preserve"> in life/ work planning and goal setting</w:t>
      </w:r>
      <w:r w:rsidR="00D750AE">
        <w:t>.</w:t>
      </w:r>
    </w:p>
    <w:p w:rsidR="00DD5D4A" w:rsidRDefault="00C57DC8" w:rsidP="00CC0F3E">
      <w:pPr>
        <w:jc w:val="both"/>
      </w:pPr>
      <w:r>
        <w:t xml:space="preserve"> 2.4 Apply</w:t>
      </w:r>
      <w:r w:rsidR="00DD5D4A">
        <w:t xml:space="preserve"> the knowledge and skills needed to seek and obtain work</w:t>
      </w:r>
      <w:r w:rsidR="00D750AE">
        <w:t>.</w:t>
      </w:r>
      <w:r w:rsidR="00DD5D4A">
        <w:t xml:space="preserve">  </w:t>
      </w:r>
    </w:p>
    <w:p w:rsidR="00CC3BEB" w:rsidRPr="00CC3BEB" w:rsidRDefault="00DD5D4A" w:rsidP="00CC0F3E">
      <w:pPr>
        <w:jc w:val="both"/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C3BEB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lastRenderedPageBreak/>
        <w:t>3. Workplace Readiness</w:t>
      </w:r>
    </w:p>
    <w:p w:rsidR="00CC3BEB" w:rsidRDefault="00CC3BEB" w:rsidP="00CC0F3E">
      <w:pPr>
        <w:jc w:val="both"/>
      </w:pPr>
      <w:r>
        <w:t>S</w:t>
      </w:r>
      <w:r w:rsidR="00DD5D4A">
        <w:t>tudents will be expected to</w:t>
      </w:r>
      <w:r>
        <w:t>:</w:t>
      </w:r>
    </w:p>
    <w:p w:rsidR="00CC3BEB" w:rsidRDefault="00C57DC8" w:rsidP="00CC0F3E">
      <w:pPr>
        <w:jc w:val="both"/>
      </w:pPr>
      <w:r>
        <w:t xml:space="preserve"> 3.1</w:t>
      </w:r>
      <w:r w:rsidR="00DD5D4A">
        <w:t xml:space="preserve"> Demonstrate knowledge and skills related to occupational health and safety and WHMIS</w:t>
      </w:r>
      <w:r w:rsidR="00D750AE">
        <w:t>.</w:t>
      </w:r>
    </w:p>
    <w:p w:rsidR="00CC3BEB" w:rsidRDefault="00C57DC8" w:rsidP="00CC0F3E">
      <w:pPr>
        <w:jc w:val="both"/>
      </w:pPr>
      <w:r>
        <w:t xml:space="preserve"> 3.2</w:t>
      </w:r>
      <w:r w:rsidR="00DD5D4A">
        <w:t xml:space="preserve"> Assess their employability based on the Conference Board of Ca</w:t>
      </w:r>
      <w:r w:rsidR="00D750AE">
        <w:t>nada Employability Skills 2000+.</w:t>
      </w:r>
    </w:p>
    <w:p w:rsidR="00DD5D4A" w:rsidRDefault="000370F6" w:rsidP="00CC0F3E">
      <w:pPr>
        <w:jc w:val="both"/>
      </w:pPr>
      <w:r>
        <w:t xml:space="preserve"> </w:t>
      </w:r>
      <w:r w:rsidR="00C57DC8">
        <w:t xml:space="preserve">3.3 </w:t>
      </w:r>
      <w:r w:rsidR="00DD5D4A">
        <w:t>Demonstrate an understanding of workplace hierarchies, relationships and etiquette</w:t>
      </w:r>
      <w:r w:rsidR="00D750AE">
        <w:t>.</w:t>
      </w:r>
      <w:r w:rsidR="00DD5D4A">
        <w:t xml:space="preserve">  </w:t>
      </w:r>
    </w:p>
    <w:p w:rsidR="00CC3BEB" w:rsidRDefault="00DD5D4A" w:rsidP="00CC0F3E">
      <w:pPr>
        <w:jc w:val="both"/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C3BEB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4. Financial Management</w:t>
      </w:r>
    </w:p>
    <w:p w:rsidR="00D750AE" w:rsidRDefault="00CC3BEB" w:rsidP="00CC0F3E">
      <w:pPr>
        <w:jc w:val="both"/>
      </w:pPr>
      <w:r>
        <w:t>S</w:t>
      </w:r>
      <w:r w:rsidR="00DD5D4A">
        <w:t>tudents will be expected to</w:t>
      </w:r>
      <w:r w:rsidR="00D750AE">
        <w:t>:</w:t>
      </w:r>
    </w:p>
    <w:p w:rsidR="00D750AE" w:rsidRDefault="00C57DC8" w:rsidP="00CC0F3E">
      <w:pPr>
        <w:jc w:val="both"/>
      </w:pPr>
      <w:r>
        <w:t xml:space="preserve"> 4.1 </w:t>
      </w:r>
      <w:r w:rsidR="00DD5D4A">
        <w:t xml:space="preserve">Make life/ work decisions that balance values, financial realities and media influences. </w:t>
      </w:r>
    </w:p>
    <w:p w:rsidR="00D750AE" w:rsidRDefault="000370F6" w:rsidP="00CC0F3E">
      <w:pPr>
        <w:jc w:val="both"/>
      </w:pPr>
      <w:r>
        <w:t xml:space="preserve"> </w:t>
      </w:r>
      <w:r w:rsidR="00C57DC8">
        <w:t xml:space="preserve">4.2 </w:t>
      </w:r>
      <w:r w:rsidR="00DD5D4A">
        <w:t>Demonstrate strategies for managing money in life and work</w:t>
      </w:r>
      <w:r w:rsidR="00D750AE">
        <w:t>.</w:t>
      </w:r>
    </w:p>
    <w:p w:rsidR="00DD5D4A" w:rsidRDefault="00C57DC8" w:rsidP="00CC0F3E">
      <w:pPr>
        <w:jc w:val="both"/>
      </w:pPr>
      <w:r>
        <w:t xml:space="preserve"> 4.3 </w:t>
      </w:r>
      <w:r w:rsidR="00DD5D4A">
        <w:t>Demonstrate understanding of consumer rights, responsibilities</w:t>
      </w:r>
      <w:r w:rsidR="00D750AE">
        <w:t xml:space="preserve"> and issues.</w:t>
      </w:r>
      <w:r w:rsidR="00DD5D4A">
        <w:t xml:space="preserve"> </w:t>
      </w:r>
    </w:p>
    <w:p w:rsidR="000370F6" w:rsidRDefault="00DD5D4A" w:rsidP="00CC0F3E">
      <w:pPr>
        <w:jc w:val="both"/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C3BEB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5. Life/ Work Portfolio</w:t>
      </w:r>
    </w:p>
    <w:p w:rsidR="000370F6" w:rsidRDefault="000370F6" w:rsidP="00CC0F3E">
      <w:pPr>
        <w:jc w:val="both"/>
      </w:pPr>
      <w:r>
        <w:t>S</w:t>
      </w:r>
      <w:r w:rsidR="00DD5D4A">
        <w:t>tudents will be expected to</w:t>
      </w:r>
      <w:r>
        <w:t>:</w:t>
      </w:r>
    </w:p>
    <w:p w:rsidR="000370F6" w:rsidRDefault="000370F6" w:rsidP="00CC0F3E">
      <w:pPr>
        <w:jc w:val="both"/>
      </w:pPr>
      <w:r>
        <w:t xml:space="preserve">5.1 </w:t>
      </w:r>
      <w:r w:rsidR="00DD5D4A">
        <w:t>Include items to demonstrate growth in knowledge and skills</w:t>
      </w:r>
    </w:p>
    <w:p w:rsidR="000370F6" w:rsidRDefault="000370F6" w:rsidP="00CC0F3E">
      <w:pPr>
        <w:jc w:val="both"/>
      </w:pPr>
      <w:r>
        <w:t xml:space="preserve">5.2 </w:t>
      </w:r>
      <w:r w:rsidR="00DD5D4A">
        <w:t>Include items that demonstrate the development of a career plan</w:t>
      </w:r>
    </w:p>
    <w:p w:rsidR="000370F6" w:rsidRDefault="000370F6" w:rsidP="00CC0F3E">
      <w:pPr>
        <w:jc w:val="both"/>
      </w:pPr>
      <w:r>
        <w:t xml:space="preserve">5.3 </w:t>
      </w:r>
      <w:r w:rsidR="00DD5D4A">
        <w:t>Include items that illustrate their interests and abilities</w:t>
      </w:r>
    </w:p>
    <w:p w:rsidR="00DD5D4A" w:rsidRDefault="00CA0DAF" w:rsidP="00CC0F3E">
      <w:pPr>
        <w:jc w:val="both"/>
      </w:pPr>
      <w:r>
        <w:t>5.4 Communicate</w:t>
      </w:r>
      <w:r w:rsidR="00DD5D4A">
        <w:t xml:space="preserve"> their career plan   </w:t>
      </w:r>
    </w:p>
    <w:p w:rsidR="00ED6598" w:rsidRDefault="00ED6598" w:rsidP="00CC0F3E">
      <w:pPr>
        <w:jc w:val="both"/>
      </w:pPr>
      <w:r w:rsidRPr="00ED6598">
        <w:rPr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Expectations and </w:t>
      </w:r>
      <w:r w:rsidR="00DD5D4A" w:rsidRPr="00ED6598">
        <w:rPr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Class Behaviour</w:t>
      </w:r>
      <w:r w:rsidR="00DD5D4A" w:rsidRPr="00ED6598">
        <w:rPr>
          <w:color w:val="DF2E28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D6598" w:rsidRDefault="00DD5D4A" w:rsidP="00CC0F3E">
      <w:pPr>
        <w:jc w:val="both"/>
      </w:pPr>
      <w:r>
        <w:t>The following are a few expectations for classroom be</w:t>
      </w:r>
      <w:r w:rsidR="00ED6598">
        <w:t>haviour.  Come to class prepared.</w:t>
      </w:r>
      <w:r>
        <w:t xml:space="preserve"> Bring your binder, books, pens, loose leaf, and any other materials we are working with.  Treat everyone with RESPECT. This means:</w:t>
      </w:r>
    </w:p>
    <w:p w:rsidR="00ED6598" w:rsidRDefault="00DD5D4A" w:rsidP="00ED6598">
      <w:pPr>
        <w:pStyle w:val="ListParagraph"/>
        <w:numPr>
          <w:ilvl w:val="0"/>
          <w:numId w:val="2"/>
        </w:numPr>
        <w:jc w:val="both"/>
      </w:pPr>
      <w:r>
        <w:t>Showing up to class on time</w:t>
      </w:r>
      <w:r w:rsidR="00CA0DAF">
        <w:t>.</w:t>
      </w:r>
    </w:p>
    <w:p w:rsidR="00ED6598" w:rsidRDefault="00DD5D4A" w:rsidP="00ED6598">
      <w:pPr>
        <w:pStyle w:val="ListParagraph"/>
        <w:numPr>
          <w:ilvl w:val="0"/>
          <w:numId w:val="2"/>
        </w:numPr>
        <w:jc w:val="both"/>
      </w:pPr>
      <w:r>
        <w:t>Understanding that it is okay for people to disagree with your views</w:t>
      </w:r>
      <w:r w:rsidR="00CA0DAF">
        <w:t>.</w:t>
      </w:r>
    </w:p>
    <w:p w:rsidR="00ED6598" w:rsidRDefault="00DD5D4A" w:rsidP="00ED6598">
      <w:pPr>
        <w:pStyle w:val="ListParagraph"/>
        <w:numPr>
          <w:ilvl w:val="0"/>
          <w:numId w:val="2"/>
        </w:numPr>
        <w:jc w:val="both"/>
      </w:pPr>
      <w:r>
        <w:t>Waiting your turn to speak</w:t>
      </w:r>
      <w:r w:rsidR="00CA0DAF">
        <w:t>.</w:t>
      </w:r>
    </w:p>
    <w:p w:rsidR="00ED6598" w:rsidRDefault="00DD5D4A" w:rsidP="004A2872">
      <w:pPr>
        <w:pStyle w:val="ListParagraph"/>
        <w:numPr>
          <w:ilvl w:val="0"/>
          <w:numId w:val="2"/>
        </w:numPr>
        <w:jc w:val="both"/>
      </w:pPr>
      <w:r>
        <w:t>Using appropriate, polite language</w:t>
      </w:r>
      <w:r w:rsidR="00CA0DAF">
        <w:t>.</w:t>
      </w:r>
    </w:p>
    <w:p w:rsidR="00ED6598" w:rsidRDefault="00DD5D4A" w:rsidP="004A2872">
      <w:pPr>
        <w:pStyle w:val="ListParagraph"/>
        <w:numPr>
          <w:ilvl w:val="0"/>
          <w:numId w:val="2"/>
        </w:numPr>
        <w:jc w:val="both"/>
      </w:pPr>
      <w:r>
        <w:t xml:space="preserve">Being prepared for discussions.  Don’t be afraid to ask questions. Chances are others in the class are wondering the same thing.  </w:t>
      </w:r>
    </w:p>
    <w:p w:rsidR="00ED6598" w:rsidRDefault="00DD5D4A" w:rsidP="00ED6598">
      <w:pPr>
        <w:pStyle w:val="ListParagraph"/>
        <w:numPr>
          <w:ilvl w:val="0"/>
          <w:numId w:val="1"/>
        </w:numPr>
        <w:jc w:val="both"/>
      </w:pPr>
      <w:r>
        <w:t xml:space="preserve">Cell phones are to be turned off and put away during class.   </w:t>
      </w:r>
    </w:p>
    <w:p w:rsidR="00ED6598" w:rsidRPr="002502B0" w:rsidRDefault="00DD5D4A" w:rsidP="00CC0F3E">
      <w:pPr>
        <w:jc w:val="both"/>
        <w:rPr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2B0">
        <w:rPr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Evaluation</w:t>
      </w:r>
      <w:r w:rsidR="00ED6598" w:rsidRPr="002502B0">
        <w:rPr>
          <w:color w:val="DF2E28" w:themeColor="accent1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Assessment:</w:t>
      </w:r>
    </w:p>
    <w:p w:rsidR="00FE387A" w:rsidRDefault="00DD5D4A" w:rsidP="00CC0F3E">
      <w:pPr>
        <w:jc w:val="both"/>
      </w:pPr>
      <w:r>
        <w:t>The term mark</w:t>
      </w:r>
      <w:r w:rsidR="00FE387A">
        <w:t xml:space="preserve"> is</w:t>
      </w:r>
      <w:r w:rsidR="006030B9">
        <w:t xml:space="preserve"> calculated using a variety of outcome based assessment and evaluation methods and tools. The mark reflects to what degree the students has met the outcomes for each unit in Career Development 10.</w:t>
      </w:r>
      <w:r>
        <w:t xml:space="preserve"> </w:t>
      </w:r>
    </w:p>
    <w:p w:rsidR="00DD5D4A" w:rsidRDefault="00C8429D" w:rsidP="00CC0F3E">
      <w:pPr>
        <w:jc w:val="both"/>
      </w:pPr>
      <w:r>
        <w:t xml:space="preserve">Some of the assessment and evaluation method are: </w:t>
      </w:r>
      <w:r w:rsidR="00DD5D4A">
        <w:t>Written and Oral Assignments</w:t>
      </w:r>
      <w:r w:rsidR="006030B9">
        <w:t xml:space="preserve">, </w:t>
      </w:r>
      <w:r w:rsidR="00FE387A">
        <w:t xml:space="preserve">Outcome Based </w:t>
      </w:r>
      <w:r w:rsidR="00DD5D4A">
        <w:t>Activities and Tasks</w:t>
      </w:r>
      <w:r w:rsidR="006030B9">
        <w:t xml:space="preserve">, </w:t>
      </w:r>
      <w:r w:rsidR="00DD5D4A">
        <w:t>Presentations and Group Work</w:t>
      </w:r>
      <w:r w:rsidR="006030B9">
        <w:t>, Tests</w:t>
      </w:r>
      <w:r w:rsidR="00DD5D4A">
        <w:t xml:space="preserve"> and Quizzes</w:t>
      </w:r>
      <w:r w:rsidR="006030B9">
        <w:t xml:space="preserve">.  </w:t>
      </w:r>
    </w:p>
    <w:p w:rsidR="00C8429D" w:rsidRDefault="000E523F" w:rsidP="00CC0F3E">
      <w:pPr>
        <w:jc w:val="both"/>
      </w:pPr>
      <w:r>
        <w:lastRenderedPageBreak/>
        <w:t xml:space="preserve">NOTE: </w:t>
      </w:r>
      <w:r w:rsidR="00C8429D" w:rsidRPr="00C8429D">
        <w:t>Cumulative marks follow a system where category</w:t>
      </w:r>
      <w:r w:rsidR="00CA0DAF">
        <w:t xml:space="preserve"> (unit)</w:t>
      </w:r>
      <w:r w:rsidR="00C8429D" w:rsidRPr="00C8429D">
        <w:t xml:space="preserve"> percentages are attac</w:t>
      </w:r>
      <w:r w:rsidR="0044164D">
        <w:t xml:space="preserve">hed to a variety of assessments for each of the 5 units. </w:t>
      </w:r>
      <w:r w:rsidR="00C8429D" w:rsidRPr="00C8429D">
        <w:t xml:space="preserve"> Cumulative marks provide a ‘snapshot’ of a student’s progress at any time in the course without locking in a grade prior to the conclusion of the course. </w:t>
      </w:r>
      <w:r w:rsidR="00C8429D">
        <w:t xml:space="preserve">All marks will be </w:t>
      </w:r>
      <w:r>
        <w:t>put into PowerSchool so</w:t>
      </w:r>
      <w:r w:rsidR="00C8429D" w:rsidRPr="00C8429D">
        <w:t xml:space="preserve"> parents and students can get an accurate account of the marks after assessments are graded.   </w:t>
      </w:r>
    </w:p>
    <w:p w:rsidR="00DD5D4A" w:rsidRDefault="00DD5D4A" w:rsidP="00CC0F3E">
      <w:pPr>
        <w:jc w:val="both"/>
      </w:pPr>
      <w:r>
        <w:t xml:space="preserve">All assignments and classroom tasks and activities are to be handed in on time. If you do miss a deadline, you must hand in your assignment on the next school day, whether you have my class on that day or not.  </w:t>
      </w:r>
    </w:p>
    <w:p w:rsidR="00DD5D4A" w:rsidRDefault="00DD5D4A" w:rsidP="00CC0F3E">
      <w:pPr>
        <w:jc w:val="both"/>
      </w:pPr>
      <w:r>
        <w:t xml:space="preserve">Make-up tests will be arranged for those students who have missed a test, but only if the student provides a written note from home explaining the reason why the test was not written on the originally scheduled test day.  </w:t>
      </w:r>
    </w:p>
    <w:p w:rsidR="00DD5D4A" w:rsidRDefault="0044164D" w:rsidP="00CC0F3E">
      <w:pPr>
        <w:jc w:val="both"/>
      </w:pPr>
      <w:bookmarkStart w:id="0" w:name="_GoBack"/>
      <w:bookmarkEnd w:id="0"/>
      <w:r>
        <w:t xml:space="preserve"> Extra Help/Questions/Comments: I am a</w:t>
      </w:r>
      <w:r w:rsidR="00DD5D4A">
        <w:t>vailable in the morning, at lunchtime, or after schoo</w:t>
      </w:r>
      <w:r w:rsidR="00C60CEB">
        <w:t>l.</w:t>
      </w:r>
      <w:r w:rsidR="00DD5D4A">
        <w:t xml:space="preserve">   </w:t>
      </w:r>
    </w:p>
    <w:p w:rsidR="0044164D" w:rsidRPr="0044164D" w:rsidRDefault="0044164D" w:rsidP="00CC0F3E">
      <w:pPr>
        <w:jc w:val="both"/>
        <w:rPr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4164D">
        <w:rPr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Communication</w:t>
      </w:r>
    </w:p>
    <w:p w:rsidR="0044164D" w:rsidRDefault="0044164D" w:rsidP="00CC0F3E">
      <w:pPr>
        <w:jc w:val="both"/>
      </w:pPr>
      <w:r>
        <w:t>Parents, p</w:t>
      </w:r>
      <w:r w:rsidR="00DD5D4A">
        <w:t xml:space="preserve">lease feel free to contact me at </w:t>
      </w:r>
      <w:r>
        <w:t>any time</w:t>
      </w:r>
      <w:r w:rsidR="00DD5D4A">
        <w:t xml:space="preserve"> to discuss your </w:t>
      </w:r>
      <w:r w:rsidR="00C60CEB">
        <w:t>son or daughter</w:t>
      </w:r>
      <w:r w:rsidR="00DD5D4A">
        <w:t xml:space="preserve">, the course, or if you have any questions or concerns. </w:t>
      </w:r>
    </w:p>
    <w:p w:rsidR="00DD5D4A" w:rsidRDefault="00DD5D4A" w:rsidP="00CC0F3E">
      <w:pPr>
        <w:jc w:val="both"/>
      </w:pPr>
      <w:r>
        <w:t xml:space="preserve">Phone: </w:t>
      </w:r>
      <w:r w:rsidR="00455173">
        <w:t>464-5220</w:t>
      </w:r>
    </w:p>
    <w:p w:rsidR="0044164D" w:rsidRDefault="00455173" w:rsidP="00CC0F3E">
      <w:pPr>
        <w:jc w:val="both"/>
      </w:pPr>
      <w:r>
        <w:t xml:space="preserve">EMAIL: </w:t>
      </w:r>
      <w:hyperlink r:id="rId7" w:history="1">
        <w:r w:rsidR="0044164D" w:rsidRPr="00AE15C4">
          <w:rPr>
            <w:rStyle w:val="Hyperlink"/>
          </w:rPr>
          <w:t>ddenike@hrsb.ca</w:t>
        </w:r>
      </w:hyperlink>
      <w:r>
        <w:t xml:space="preserve">   (Quickest way to communicate with me during school hours and in the evening)</w:t>
      </w:r>
    </w:p>
    <w:p w:rsidR="0044164D" w:rsidRDefault="0044164D" w:rsidP="00CC0F3E">
      <w:pPr>
        <w:jc w:val="both"/>
      </w:pPr>
      <w:proofErr w:type="spellStart"/>
      <w:r>
        <w:t>Denike</w:t>
      </w:r>
      <w:proofErr w:type="spellEnd"/>
      <w:r>
        <w:t xml:space="preserve"> Online:   </w:t>
      </w:r>
      <w:r w:rsidRPr="0044164D">
        <w:t>http://hrsbstaff.ednet.ns.ca/denikedm/</w:t>
      </w:r>
    </w:p>
    <w:p w:rsidR="0044164D" w:rsidRDefault="0044164D" w:rsidP="00CC0F3E">
      <w:pPr>
        <w:jc w:val="both"/>
      </w:pPr>
      <w:r>
        <w:t xml:space="preserve">School website: </w:t>
      </w:r>
      <w:hyperlink r:id="rId8" w:history="1">
        <w:r w:rsidR="00455173" w:rsidRPr="00AE15C4">
          <w:rPr>
            <w:rStyle w:val="Hyperlink"/>
          </w:rPr>
          <w:t>http://www.coleharbourhigh.ednet.ns.ca/</w:t>
        </w:r>
      </w:hyperlink>
    </w:p>
    <w:p w:rsidR="00455173" w:rsidRDefault="00455173" w:rsidP="00CC0F3E">
      <w:pPr>
        <w:jc w:val="both"/>
      </w:pPr>
      <w:r>
        <w:t xml:space="preserve">Student-Parent Portal for PowerSchool: </w:t>
      </w:r>
      <w:hyperlink r:id="rId9" w:history="1">
        <w:r w:rsidRPr="00AE15C4">
          <w:rPr>
            <w:rStyle w:val="Hyperlink"/>
          </w:rPr>
          <w:t>https://sishrsb.ednet.ns.ca/public/</w:t>
        </w:r>
      </w:hyperlink>
    </w:p>
    <w:p w:rsidR="00455173" w:rsidRDefault="00455173" w:rsidP="00CC0F3E">
      <w:pPr>
        <w:jc w:val="both"/>
      </w:pPr>
    </w:p>
    <w:p w:rsidR="00B55B3D" w:rsidRDefault="00B55B3D" w:rsidP="00CC0F3E">
      <w:pPr>
        <w:jc w:val="both"/>
      </w:pPr>
    </w:p>
    <w:p w:rsidR="00B55B3D" w:rsidRDefault="00B55B3D" w:rsidP="00CC0F3E">
      <w:pPr>
        <w:jc w:val="both"/>
      </w:pPr>
    </w:p>
    <w:p w:rsidR="00455173" w:rsidRDefault="00B55B3D" w:rsidP="00B55B3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71725" cy="1718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A290NX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77" cy="172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173" w:rsidSect="00D02089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666"/>
    <w:multiLevelType w:val="hybridMultilevel"/>
    <w:tmpl w:val="D564F038"/>
    <w:lvl w:ilvl="0" w:tplc="B608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557"/>
    <w:multiLevelType w:val="multilevel"/>
    <w:tmpl w:val="52005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0F92C4E"/>
    <w:multiLevelType w:val="multilevel"/>
    <w:tmpl w:val="C2BC2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9417ED"/>
    <w:multiLevelType w:val="hybridMultilevel"/>
    <w:tmpl w:val="731EA0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17F65"/>
    <w:multiLevelType w:val="hybridMultilevel"/>
    <w:tmpl w:val="36AE0B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63AAC"/>
    <w:multiLevelType w:val="hybridMultilevel"/>
    <w:tmpl w:val="2AC63B88"/>
    <w:lvl w:ilvl="0" w:tplc="4C0495C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5F2440"/>
    <w:multiLevelType w:val="hybridMultilevel"/>
    <w:tmpl w:val="401E297C"/>
    <w:lvl w:ilvl="0" w:tplc="D1925772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7152C80"/>
    <w:multiLevelType w:val="hybridMultilevel"/>
    <w:tmpl w:val="D6003C1E"/>
    <w:lvl w:ilvl="0" w:tplc="F7BE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A"/>
    <w:rsid w:val="00034D2E"/>
    <w:rsid w:val="000370F6"/>
    <w:rsid w:val="000E523F"/>
    <w:rsid w:val="001C1749"/>
    <w:rsid w:val="002502B0"/>
    <w:rsid w:val="0044164D"/>
    <w:rsid w:val="00455173"/>
    <w:rsid w:val="006030B9"/>
    <w:rsid w:val="00911CFA"/>
    <w:rsid w:val="009942FA"/>
    <w:rsid w:val="00B22E94"/>
    <w:rsid w:val="00B55B3D"/>
    <w:rsid w:val="00C57DC8"/>
    <w:rsid w:val="00C60CEB"/>
    <w:rsid w:val="00C8429D"/>
    <w:rsid w:val="00CA0DAF"/>
    <w:rsid w:val="00CC0F3E"/>
    <w:rsid w:val="00CC3BEB"/>
    <w:rsid w:val="00CE7CB5"/>
    <w:rsid w:val="00D02089"/>
    <w:rsid w:val="00D750AE"/>
    <w:rsid w:val="00DD5D4A"/>
    <w:rsid w:val="00ED6598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BED178-7C06-4D60-BF16-08DBC2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4A"/>
  </w:style>
  <w:style w:type="paragraph" w:styleId="Heading1">
    <w:name w:val="heading 1"/>
    <w:basedOn w:val="Normal"/>
    <w:next w:val="Normal"/>
    <w:link w:val="Heading1Char"/>
    <w:uiPriority w:val="9"/>
    <w:qFormat/>
    <w:rsid w:val="00DD5D4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D4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D4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D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D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D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D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D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D4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D4A"/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D4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D4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D4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D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D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D4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D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5D4A"/>
    <w:pPr>
      <w:pBdr>
        <w:top w:val="single" w:sz="6" w:space="8" w:color="E9BF35" w:themeColor="accent3"/>
        <w:bottom w:val="single" w:sz="6" w:space="8" w:color="E9BF3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5D4A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D4A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5D4A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D5D4A"/>
    <w:rPr>
      <w:b/>
      <w:bCs/>
    </w:rPr>
  </w:style>
  <w:style w:type="character" w:styleId="Emphasis">
    <w:name w:val="Emphasis"/>
    <w:basedOn w:val="DefaultParagraphFont"/>
    <w:uiPriority w:val="20"/>
    <w:qFormat/>
    <w:rsid w:val="00DD5D4A"/>
    <w:rPr>
      <w:i/>
      <w:iCs/>
      <w:color w:val="000000" w:themeColor="text1"/>
    </w:rPr>
  </w:style>
  <w:style w:type="paragraph" w:styleId="NoSpacing">
    <w:name w:val="No Spacing"/>
    <w:uiPriority w:val="1"/>
    <w:qFormat/>
    <w:rsid w:val="00DD5D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5D4A"/>
    <w:pPr>
      <w:spacing w:before="160"/>
      <w:ind w:left="720" w:right="720"/>
      <w:jc w:val="center"/>
    </w:pPr>
    <w:rPr>
      <w:i/>
      <w:iCs/>
      <w:color w:val="C098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5D4A"/>
    <w:rPr>
      <w:i/>
      <w:iCs/>
      <w:color w:val="C098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D4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B1E19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D4A"/>
    <w:rPr>
      <w:rFonts w:asciiTheme="majorHAnsi" w:eastAsiaTheme="majorEastAsia" w:hAnsiTheme="majorHAnsi" w:cstheme="majorBidi"/>
      <w:caps/>
      <w:color w:val="AB1E19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5D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5D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D5D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5D4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D5D4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D4A"/>
    <w:pPr>
      <w:outlineLvl w:val="9"/>
    </w:pPr>
  </w:style>
  <w:style w:type="paragraph" w:styleId="ListParagraph">
    <w:name w:val="List Paragraph"/>
    <w:basedOn w:val="Normal"/>
    <w:uiPriority w:val="34"/>
    <w:qFormat/>
    <w:rsid w:val="00ED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4D"/>
    <w:rPr>
      <w:color w:val="F0532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harbourhigh.ednet.ns.ca/" TargetMode="External"/><Relationship Id="rId3" Type="http://schemas.openxmlformats.org/officeDocument/2006/relationships/styles" Target="styles.xml"/><Relationship Id="rId7" Type="http://schemas.openxmlformats.org/officeDocument/2006/relationships/hyperlink" Target="mailto:ddenike@hrsb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ishrsb.ednet.ns.ca/public/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4FE5-E7C3-46CF-811F-2F8D383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DENIKE</dc:creator>
  <cp:keywords/>
  <dc:description/>
  <cp:lastModifiedBy>DENIKE</cp:lastModifiedBy>
  <cp:revision>2</cp:revision>
  <cp:lastPrinted>2013-09-01T12:40:00Z</cp:lastPrinted>
  <dcterms:created xsi:type="dcterms:W3CDTF">2013-09-02T19:10:00Z</dcterms:created>
  <dcterms:modified xsi:type="dcterms:W3CDTF">2013-09-02T19:10:00Z</dcterms:modified>
</cp:coreProperties>
</file>